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D0400B">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40"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26BD35D" w:rsidR="00093CA9" w:rsidRDefault="00DC3C2A" w:rsidP="00093CA9">
            <w:r>
              <w:t>Mintz</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A8447F7" w:rsidR="00093CA9" w:rsidRDefault="00DC3C2A" w:rsidP="00093CA9">
            <w:r>
              <w:t>USA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D787A65" w:rsidR="00093CA9" w:rsidRDefault="00DC3C2A" w:rsidP="00093CA9">
            <w:r w:rsidRPr="00DC3C2A">
              <w:t>Commission Guidance Regarding the Listing of Voluntary Carbon Credit Derivative Contracts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7673D69" w:rsidR="00093CA9" w:rsidRDefault="00F51297" w:rsidP="00093CA9">
            <w:hyperlink r:id="rId19" w:history="1">
              <w:r w:rsidRPr="00FC5ADF">
                <w:rPr>
                  <w:rStyle w:val="Hyperlink"/>
                </w:rPr>
                <w:t>https://web.archive.org/web/202</w:t>
              </w:r>
              <w:r w:rsidRPr="00FC5ADF">
                <w:rPr>
                  <w:rStyle w:val="Hyperlink"/>
                </w:rPr>
                <w:t>5</w:t>
              </w:r>
              <w:r w:rsidRPr="00FC5ADF">
                <w:rPr>
                  <w:rStyle w:val="Hyperlink"/>
                </w:rPr>
                <w:t>0625231446/https://www.govinfo.gov/content/pkg/FR-2024-10-15/pdf/2024-23105.pdf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1FC6694" w:rsidR="00093CA9" w:rsidRDefault="00DC3C2A"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64B9A27F" w:rsidR="00093CA9" w:rsidRDefault="00584953" w:rsidP="00093CA9">
            <w:r>
              <w:t xml:space="preserve">The rule </w:t>
            </w:r>
            <w:r w:rsidRPr="00584953">
              <w:t xml:space="preserve">outlines how U.S. exchanges (Designated Contract Markets) should </w:t>
            </w:r>
            <w:proofErr w:type="gramStart"/>
            <w:r w:rsidRPr="00584953">
              <w:t>design</w:t>
            </w:r>
            <w:proofErr w:type="gramEnd"/>
            <w:r w:rsidRPr="00584953">
              <w:t xml:space="preserve"> and list derivatives based on voluntary carbon credits (VCCs). It aims to ensure these contracts are not prone to manipulation by encouraging exchanges to consider key attributes of VCCs—like transparency, additionality, permanence, and third-party verification—when setting contract terms.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409BDC32" w:rsidR="00093CA9" w:rsidRDefault="00584953"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E1271A1" w:rsidR="00093CA9" w:rsidRPr="00173D7C" w:rsidRDefault="00584953"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1464CDFF" w:rsidR="00093CA9" w:rsidRPr="00173D7C" w:rsidRDefault="00584953" w:rsidP="00093CA9">
            <w:pPr>
              <w:rPr>
                <w:color w:val="000000" w:themeColor="text1"/>
              </w:rPr>
            </w:pPr>
            <w:r>
              <w:rPr>
                <w:color w:val="000000" w:themeColor="text1"/>
              </w:rPr>
              <w:t>2024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84D009A" w:rsidR="00093CA9" w:rsidRDefault="00584953" w:rsidP="00093CA9">
            <w:r w:rsidRPr="00584953">
              <w:t>Independent regulatory or supervisory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063F4EA" w:rsidR="00093CA9" w:rsidRPr="006B7B0D" w:rsidRDefault="00584953" w:rsidP="00093CA9">
            <w:r w:rsidRPr="00584953">
              <w:t>U.S. Commodity Futures Trading Commission (CFTC)</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0F573C5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0B29E96" w:rsidR="00093CA9" w:rsidRPr="006B7B0D" w:rsidRDefault="00584953"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4C6E5988" w:rsidR="00093CA9" w:rsidRDefault="00967FCE"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0AE326AD"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2A4331CC" w:rsidR="00D4323A" w:rsidRPr="00CF2E7C" w:rsidRDefault="00037167" w:rsidP="00CF2E7C">
            <w:pPr>
              <w:rPr>
                <w:rFonts w:ascii="Calibri" w:hAnsi="Calibri" w:cs="Calibri"/>
              </w:rPr>
            </w:pPr>
            <w:r>
              <w:rPr>
                <w:rFonts w:ascii="Calibri" w:hAnsi="Calibri" w:cs="Calibri"/>
              </w:rPr>
              <w:t>X</w:t>
            </w: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6EDA1907" w:rsidR="00D4323A" w:rsidRPr="00CF2E7C" w:rsidRDefault="00037167" w:rsidP="00CF2E7C">
            <w:pPr>
              <w:rPr>
                <w:rFonts w:ascii="Calibri" w:hAnsi="Calibri" w:cs="Calibri"/>
              </w:rPr>
            </w:pPr>
            <w:r>
              <w:rPr>
                <w:rFonts w:ascii="Calibri" w:hAnsi="Calibri" w:cs="Calibri"/>
              </w:rPr>
              <w:t>X</w:t>
            </w: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85185E1" w:rsidR="00D4323A" w:rsidRPr="00CF2E7C" w:rsidRDefault="00967FCE" w:rsidP="00CF2E7C">
            <w:pPr>
              <w:rPr>
                <w:rFonts w:ascii="Calibri" w:hAnsi="Calibri" w:cs="Calibri"/>
              </w:rPr>
            </w:pPr>
            <w:r>
              <w:rPr>
                <w:rFonts w:ascii="Calibri" w:hAnsi="Calibri" w:cs="Calibri"/>
              </w:rPr>
              <w:t>X</w:t>
            </w: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3FFF0B0B" w:rsidR="00D4323A" w:rsidRPr="00CF2E7C" w:rsidRDefault="00037167" w:rsidP="00CF2E7C">
            <w:pPr>
              <w:rPr>
                <w:rFonts w:ascii="Calibri" w:hAnsi="Calibri" w:cs="Calibri"/>
              </w:rPr>
            </w:pPr>
            <w:r>
              <w:rPr>
                <w:rFonts w:ascii="Calibri" w:hAnsi="Calibri" w:cs="Calibri"/>
              </w:rPr>
              <w:t>X</w:t>
            </w: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3657753F" w:rsidR="00D4323A" w:rsidRPr="00CF2E7C" w:rsidRDefault="00037167" w:rsidP="00CF2E7C">
            <w:pPr>
              <w:rPr>
                <w:rFonts w:ascii="Calibri" w:hAnsi="Calibri" w:cs="Calibri"/>
              </w:rPr>
            </w:pPr>
            <w:r>
              <w:rPr>
                <w:rFonts w:ascii="Calibri" w:hAnsi="Calibri" w:cs="Calibri"/>
              </w:rPr>
              <w:t>X</w:t>
            </w: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5439B9F8" w:rsidR="00D4323A" w:rsidRPr="00CF2E7C" w:rsidRDefault="00037167"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45A02EE4" w:rsidR="00D4323A" w:rsidRPr="00CF2E7C" w:rsidRDefault="00037167"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2D33CBD4" w:rsidR="00D4323A" w:rsidRPr="00CF2E7C" w:rsidRDefault="00037167" w:rsidP="00CF2E7C">
            <w:pPr>
              <w:rPr>
                <w:rFonts w:ascii="Calibri" w:hAnsi="Calibri" w:cs="Calibri"/>
              </w:rPr>
            </w:pPr>
            <w:r>
              <w:rPr>
                <w:rFonts w:ascii="Calibri" w:hAnsi="Calibri" w:cs="Calibri"/>
              </w:rPr>
              <w:t>X</w:t>
            </w: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371F462E" w:rsidR="00D4323A" w:rsidRPr="00CF2E7C" w:rsidRDefault="00037167" w:rsidP="00CF2E7C">
            <w:pPr>
              <w:rPr>
                <w:rFonts w:ascii="Calibri" w:hAnsi="Calibri" w:cs="Calibri"/>
              </w:rPr>
            </w:pPr>
            <w:r>
              <w:rPr>
                <w:rFonts w:ascii="Calibri" w:hAnsi="Calibri" w:cs="Calibri"/>
              </w:rPr>
              <w:t>X</w:t>
            </w: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45D41519" w:rsidR="00D4323A" w:rsidRPr="00CF2E7C" w:rsidRDefault="00037167" w:rsidP="00CF2E7C">
            <w:pPr>
              <w:rPr>
                <w:rFonts w:ascii="Calibri" w:hAnsi="Calibri" w:cs="Calibri"/>
              </w:rPr>
            </w:pPr>
            <w:r>
              <w:rPr>
                <w:rFonts w:ascii="Calibri" w:hAnsi="Calibri" w:cs="Calibri"/>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43A375F" w:rsidR="00D4323A" w:rsidRPr="00CF2E7C" w:rsidRDefault="00037167" w:rsidP="00CF2E7C">
            <w:pP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86B28CD" w:rsidR="00D4323A" w:rsidRPr="00CF2E7C" w:rsidRDefault="00037167" w:rsidP="00CF2E7C">
            <w:pPr>
              <w:rPr>
                <w:rFonts w:ascii="Calibri" w:hAnsi="Calibri" w:cs="Calibri"/>
              </w:rPr>
            </w:pPr>
            <w:r>
              <w:rPr>
                <w:rFonts w:ascii="Calibri" w:hAnsi="Calibri" w:cs="Calibri"/>
              </w:rPr>
              <w:t>X</w:t>
            </w: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420932E3" w:rsidR="00D4323A" w:rsidRPr="00CF2E7C" w:rsidRDefault="00037167" w:rsidP="00CF2E7C">
            <w:pPr>
              <w:rPr>
                <w:rFonts w:ascii="Calibri" w:hAnsi="Calibri" w:cs="Calibri"/>
              </w:rPr>
            </w:pPr>
            <w:r>
              <w:rPr>
                <w:rFonts w:ascii="Calibri" w:hAnsi="Calibri" w:cs="Calibri"/>
              </w:rPr>
              <w:t>X</w:t>
            </w: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2F907B73" w:rsidR="00092534" w:rsidRPr="00CF2E7C" w:rsidRDefault="00092534" w:rsidP="00CF2E7C">
            <w:pPr>
              <w:rPr>
                <w:rFonts w:ascii="Calibri" w:hAnsi="Calibri" w:cs="Calibri"/>
              </w:rPr>
            </w:pPr>
          </w:p>
        </w:tc>
        <w:tc>
          <w:tcPr>
            <w:tcW w:w="1723" w:type="dxa"/>
            <w:vAlign w:val="center"/>
          </w:tcPr>
          <w:p w14:paraId="25298912" w14:textId="7FBC3ABF" w:rsidR="00092534" w:rsidRPr="00CF2E7C" w:rsidRDefault="00F55E99" w:rsidP="00CF2E7C">
            <w:pPr>
              <w:rPr>
                <w:rFonts w:ascii="Calibri" w:hAnsi="Calibri" w:cs="Calibri"/>
              </w:rPr>
            </w:pPr>
            <w:r>
              <w:rPr>
                <w:rFonts w:ascii="Calibri" w:hAnsi="Calibri" w:cs="Calibri"/>
              </w:rPr>
              <w:t>X</w:t>
            </w: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54DCBFD2" w:rsidR="00092534" w:rsidRPr="00CF2E7C" w:rsidRDefault="00092534" w:rsidP="00CF2E7C">
            <w:pPr>
              <w:rPr>
                <w:rFonts w:ascii="Calibri" w:hAnsi="Calibri" w:cs="Calibri"/>
              </w:rPr>
            </w:pPr>
          </w:p>
        </w:tc>
        <w:tc>
          <w:tcPr>
            <w:tcW w:w="1723" w:type="dxa"/>
            <w:vAlign w:val="center"/>
          </w:tcPr>
          <w:p w14:paraId="63004DE8" w14:textId="7ACF8579" w:rsidR="00092534" w:rsidRPr="00CF2E7C" w:rsidRDefault="00F55E99" w:rsidP="00CF2E7C">
            <w:pPr>
              <w:rPr>
                <w:rFonts w:ascii="Calibri" w:hAnsi="Calibri" w:cs="Calibri"/>
              </w:rPr>
            </w:pPr>
            <w:r>
              <w:rPr>
                <w:rFonts w:ascii="Calibri" w:hAnsi="Calibri" w:cs="Calibri"/>
              </w:rPr>
              <w:t>X</w:t>
            </w: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4CDB66F8" w:rsidR="00092534" w:rsidRPr="00CF2E7C" w:rsidRDefault="00967FCE" w:rsidP="00CF2E7C">
            <w:pPr>
              <w:rPr>
                <w:rFonts w:ascii="Calibri" w:hAnsi="Calibri" w:cs="Calibri"/>
              </w:rPr>
            </w:pPr>
            <w:r>
              <w:rPr>
                <w:rFonts w:ascii="Calibri" w:hAnsi="Calibri" w:cs="Calibri"/>
              </w:rPr>
              <w:t>X</w:t>
            </w: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180A25CB" w:rsidR="00092534" w:rsidRPr="00CF2E7C" w:rsidRDefault="00967FCE" w:rsidP="00CF2E7C">
            <w:pPr>
              <w:rPr>
                <w:rFonts w:ascii="Calibri" w:hAnsi="Calibri" w:cs="Calibri"/>
              </w:rPr>
            </w:pPr>
            <w:r>
              <w:rPr>
                <w:rFonts w:ascii="Calibri" w:hAnsi="Calibri" w:cs="Calibri"/>
              </w:rPr>
              <w:t>X</w:t>
            </w: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58588D39" w:rsidR="00092534" w:rsidRPr="00CF2E7C" w:rsidRDefault="00967FCE" w:rsidP="00CF2E7C">
            <w:pPr>
              <w:rPr>
                <w:rFonts w:ascii="Calibri" w:hAnsi="Calibri" w:cs="Calibri"/>
              </w:rPr>
            </w:pPr>
            <w:r>
              <w:rPr>
                <w:rFonts w:ascii="Calibri" w:hAnsi="Calibri" w:cs="Calibri"/>
              </w:rPr>
              <w:t>X</w:t>
            </w: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582EB18D" w:rsidR="00092534" w:rsidRPr="00CF2E7C" w:rsidRDefault="00967FCE" w:rsidP="00CF2E7C">
            <w:pPr>
              <w:rPr>
                <w:rFonts w:ascii="Calibri" w:hAnsi="Calibri" w:cs="Calibri"/>
              </w:rPr>
            </w:pPr>
            <w:r>
              <w:rPr>
                <w:rFonts w:ascii="Calibri" w:hAnsi="Calibri" w:cs="Calibri"/>
              </w:rPr>
              <w:t>X</w:t>
            </w: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3E85A75E" w:rsidR="00092534" w:rsidRPr="00CF2E7C" w:rsidRDefault="00967FCE" w:rsidP="00CF2E7C">
            <w:pPr>
              <w:rPr>
                <w:rFonts w:ascii="Calibri" w:hAnsi="Calibri" w:cs="Calibri"/>
              </w:rPr>
            </w:pPr>
            <w:r w:rsidRPr="00967FCE">
              <w:rPr>
                <w:rFonts w:ascii="Calibri" w:hAnsi="Calibri" w:cs="Calibri"/>
              </w:rPr>
              <w:t xml:space="preserve">The guidance specifically targets Designated Contract Markets (DCMs)—regulated exchanges that list and trade derivatives. These are a specialized subset of financial institutions, often operated by exchange groups, and are not neatly </w:t>
            </w:r>
            <w:r>
              <w:rPr>
                <w:rFonts w:ascii="Calibri" w:hAnsi="Calibri" w:cs="Calibri"/>
              </w:rPr>
              <w:t>c</w:t>
            </w:r>
            <w:r w:rsidRPr="00967FCE">
              <w:rPr>
                <w:rFonts w:ascii="Calibri" w:hAnsi="Calibri" w:cs="Calibri"/>
              </w:rPr>
              <w:t>ategorized under traditional financial institution labels</w:t>
            </w:r>
            <w:r>
              <w:rPr>
                <w:rFonts w:ascii="Calibri" w:hAnsi="Calibri" w:cs="Calibri"/>
              </w:rPr>
              <w:t>.</w:t>
            </w: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lastRenderedPageBreak/>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0620FC0A"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474F6901" w:rsidR="00092534" w:rsidRPr="00CF2E7C" w:rsidRDefault="00037167" w:rsidP="00CF2E7C">
            <w:pPr>
              <w:rPr>
                <w:rFonts w:ascii="Calibri" w:hAnsi="Calibri" w:cs="Calibri"/>
              </w:rPr>
            </w:pPr>
            <w:r>
              <w:t>The guidance applies directly to Designated Contract Markets (DCMs), which are CFTC-regulated exchanges.</w:t>
            </w: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4D1326A0"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2BDB165" w:rsidR="00092534" w:rsidRPr="00CF2E7C" w:rsidRDefault="00353C94" w:rsidP="00CF2E7C">
            <w:pPr>
              <w:rPr>
                <w:rFonts w:ascii="Calibri" w:hAnsi="Calibri" w:cs="Calibri"/>
              </w:rPr>
            </w:pPr>
            <w:r>
              <w:rPr>
                <w:rFonts w:ascii="Calibri" w:hAnsi="Calibri" w:cs="Calibri"/>
              </w:rPr>
              <w:t>X</w:t>
            </w: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29451A72" w:rsidR="00DB1E72" w:rsidRPr="00CF2E7C" w:rsidRDefault="00D52B89" w:rsidP="00CF2E7C">
            <w:pPr>
              <w:rPr>
                <w:rFonts w:ascii="Calibri" w:hAnsi="Calibri" w:cs="Calibri"/>
              </w:rPr>
            </w:pPr>
            <w:r>
              <w:rPr>
                <w:rFonts w:ascii="Calibri" w:hAnsi="Calibri" w:cs="Calibri"/>
              </w:rPr>
              <w:t>X</w:t>
            </w: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43C997B" w:rsidR="00092534" w:rsidRPr="00CF2E7C" w:rsidRDefault="00D52B89" w:rsidP="00CF2E7C">
            <w:pPr>
              <w:rPr>
                <w:rFonts w:ascii="Calibri" w:hAnsi="Calibri" w:cs="Calibri"/>
              </w:rPr>
            </w:pPr>
            <w:r>
              <w:rPr>
                <w:rFonts w:ascii="Calibri" w:hAnsi="Calibri" w:cs="Calibri"/>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2E71C816" w:rsidR="00092534" w:rsidRPr="00CF2E7C" w:rsidRDefault="00D52B89" w:rsidP="00CF2E7C">
            <w:pPr>
              <w:rPr>
                <w:rFonts w:ascii="Calibri" w:hAnsi="Calibri" w:cs="Calibri"/>
              </w:rPr>
            </w:pPr>
            <w:r w:rsidRPr="00D52B89">
              <w:rPr>
                <w:rFonts w:ascii="Calibri" w:hAnsi="Calibri" w:cs="Calibri"/>
              </w:rPr>
              <w:t>The CFTC’s guidance has been formally issued and published in the Federal Register (October 15, 2024), and it builds on prior initiatives</w:t>
            </w:r>
            <w:r>
              <w:rPr>
                <w:rFonts w:ascii="Calibri" w:hAnsi="Calibri" w:cs="Calibri"/>
              </w:rPr>
              <w:t xml:space="preserve">, </w:t>
            </w:r>
            <w:r w:rsidRPr="00D52B89">
              <w:rPr>
                <w:rFonts w:ascii="Calibri" w:hAnsi="Calibri" w:cs="Calibri"/>
              </w:rPr>
              <w:t>referenc</w:t>
            </w:r>
            <w:r>
              <w:rPr>
                <w:rFonts w:ascii="Calibri" w:hAnsi="Calibri" w:cs="Calibri"/>
              </w:rPr>
              <w:t>ing</w:t>
            </w:r>
            <w:r w:rsidRPr="00D52B89">
              <w:rPr>
                <w:rFonts w:ascii="Calibri" w:hAnsi="Calibri" w:cs="Calibri"/>
              </w:rPr>
              <w:t xml:space="preserve"> ongoing coordination with private sector and multilateral initiatives</w:t>
            </w:r>
            <w:r>
              <w:rPr>
                <w:rFonts w:ascii="Calibri" w:hAnsi="Calibri" w:cs="Calibri"/>
              </w:rPr>
              <w:t>.</w:t>
            </w: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5C9DD305" w:rsidR="00092534" w:rsidRPr="00CF2E7C" w:rsidRDefault="00D42EF0"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F51297">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4709F044" w:rsidR="00D46B07" w:rsidRPr="00CF2E7C" w:rsidRDefault="00D42EF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6715CEE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13783D">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4AB01DA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13783D">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616F964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13783D">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10E4AACA" w:rsidR="00D46B07" w:rsidRPr="00CF2E7C" w:rsidRDefault="0013783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0A8E213A" w:rsidR="000334B6" w:rsidRPr="00CF2E7C" w:rsidRDefault="0013783D" w:rsidP="00CF2E7C">
            <w:pPr>
              <w:textAlignment w:val="baseline"/>
              <w:rPr>
                <w:rFonts w:ascii="Calibri" w:eastAsia="Times New Roman" w:hAnsi="Calibri" w:cs="Calibri"/>
                <w:kern w:val="0"/>
                <w:lang w:eastAsia="en-GB"/>
                <w14:ligatures w14:val="none"/>
              </w:rPr>
            </w:pPr>
            <w:r w:rsidRPr="0013783D">
              <w:rPr>
                <w:rFonts w:ascii="Calibri" w:eastAsia="Times New Roman" w:hAnsi="Calibri" w:cs="Calibri"/>
                <w:kern w:val="0"/>
                <w:lang w:eastAsia="en-GB"/>
                <w14:ligatures w14:val="none"/>
              </w:rPr>
              <w:t>The guidance does not explicitly favor or discourage any specific type of credit</w:t>
            </w:r>
            <w:r>
              <w:rPr>
                <w:rFonts w:ascii="Calibri" w:eastAsia="Times New Roman" w:hAnsi="Calibri" w:cs="Calibri"/>
                <w:kern w:val="0"/>
                <w:lang w:eastAsia="en-GB"/>
                <w14:ligatures w14:val="none"/>
              </w:rPr>
              <w:t>.</w:t>
            </w:r>
            <w:r w:rsidRPr="0013783D">
              <w:rPr>
                <w:rFonts w:ascii="Calibri" w:eastAsia="Times New Roman" w:hAnsi="Calibri" w:cs="Calibri"/>
                <w:kern w:val="0"/>
                <w:lang w:eastAsia="en-GB"/>
                <w14:ligatures w14:val="none"/>
              </w:rPr>
              <w:t xml:space="preserve"> Instead, it emphasizes that DCMs must ensure that any VCCs eligible for delivery under a derivative contract meet high-integrity standards</w:t>
            </w:r>
            <w:r>
              <w:rPr>
                <w:rFonts w:ascii="Calibri" w:eastAsia="Times New Roman" w:hAnsi="Calibri" w:cs="Calibri"/>
                <w:kern w:val="0"/>
                <w:lang w:eastAsia="en-GB"/>
                <w14:ligatures w14:val="none"/>
              </w:rPr>
              <w:t xml:space="preserve">. </w:t>
            </w:r>
            <w:r w:rsidRPr="0013783D">
              <w:rPr>
                <w:rFonts w:ascii="Calibri" w:eastAsia="Times New Roman" w:hAnsi="Calibri" w:cs="Calibri"/>
                <w:kern w:val="0"/>
                <w:lang w:eastAsia="en-GB"/>
                <w14:ligatures w14:val="none"/>
              </w:rPr>
              <w:t>The guidance references a wide range of project types (e.g. forestry, renewable energy, industrial gas capture, regenerative agriculture), indicating that both avoidance and removal credits are within scope, provided they meet quality criteria.</w:t>
            </w: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3300320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86C64">
              <w:rPr>
                <w:rFonts w:ascii="Calibri" w:eastAsia="Times New Roman" w:hAnsi="Calibri" w:cs="Calibri"/>
                <w:kern w:val="0"/>
                <w:lang w:eastAsia="en-GB"/>
                <w14:ligatures w14:val="none"/>
              </w:rPr>
              <w:t>X</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298C1FF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86C64">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FB3365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86C64">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1939CD1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86C64">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597D47C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86C64">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3636F95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6C64">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51554B" w14:textId="4A6BB72F" w:rsidR="00702413" w:rsidRDefault="00E159A4" w:rsidP="00CF2E7C">
            <w:pPr>
              <w:textAlignment w:val="baseline"/>
              <w:rPr>
                <w:rFonts w:ascii="Calibri" w:eastAsia="Times New Roman" w:hAnsi="Calibri" w:cs="Calibri"/>
                <w:kern w:val="0"/>
                <w:lang w:eastAsia="en-GB"/>
                <w14:ligatures w14:val="none"/>
              </w:rPr>
            </w:pPr>
            <w:r w:rsidRPr="00E159A4">
              <w:rPr>
                <w:rFonts w:ascii="Calibri" w:eastAsia="Times New Roman" w:hAnsi="Calibri" w:cs="Calibri"/>
                <w:kern w:val="0"/>
                <w:lang w:eastAsia="en-GB"/>
                <w14:ligatures w14:val="none"/>
              </w:rPr>
              <w:t>Section II.B.2.iv.b</w:t>
            </w:r>
            <w:r>
              <w:rPr>
                <w:rFonts w:ascii="Calibri" w:eastAsia="Times New Roman" w:hAnsi="Calibri" w:cs="Calibri"/>
                <w:kern w:val="0"/>
                <w:lang w:eastAsia="en-GB"/>
                <w14:ligatures w14:val="none"/>
              </w:rPr>
              <w:t xml:space="preserve">: </w:t>
            </w:r>
            <w:r w:rsidRPr="00E159A4">
              <w:rPr>
                <w:rFonts w:ascii="Calibri" w:eastAsia="Times New Roman" w:hAnsi="Calibri" w:cs="Calibri"/>
                <w:kern w:val="0"/>
                <w:lang w:eastAsia="en-GB"/>
                <w14:ligatures w14:val="none"/>
              </w:rPr>
              <w:t>The guidance states that a crediting program typically operates or makes use of a registry, which serves as a central repository for tracking certified mitigation projects or activities and their associated VCCs.</w:t>
            </w:r>
          </w:p>
          <w:p w14:paraId="3472A2F8" w14:textId="79D647B6" w:rsidR="00E159A4" w:rsidRDefault="00E159A4" w:rsidP="00CF2E7C">
            <w:pPr>
              <w:textAlignment w:val="baseline"/>
              <w:rPr>
                <w:rFonts w:ascii="Calibri" w:eastAsia="Times New Roman" w:hAnsi="Calibri" w:cs="Calibri"/>
                <w:kern w:val="0"/>
                <w:lang w:eastAsia="en-GB"/>
                <w14:ligatures w14:val="none"/>
              </w:rPr>
            </w:pPr>
            <w:r w:rsidRPr="00E159A4">
              <w:rPr>
                <w:rFonts w:ascii="Calibri" w:eastAsia="Times New Roman" w:hAnsi="Calibri" w:cs="Calibri"/>
                <w:kern w:val="0"/>
                <w:lang w:eastAsia="en-GB"/>
                <w14:ligatures w14:val="none"/>
              </w:rPr>
              <w:t>Section III.A.2.ii</w:t>
            </w:r>
            <w:r>
              <w:rPr>
                <w:rFonts w:ascii="Calibri" w:eastAsia="Times New Roman" w:hAnsi="Calibri" w:cs="Calibri"/>
                <w:kern w:val="0"/>
                <w:lang w:eastAsia="en-GB"/>
                <w14:ligatures w14:val="none"/>
              </w:rPr>
              <w:t xml:space="preserve">: </w:t>
            </w:r>
            <w:r w:rsidRPr="00E159A4">
              <w:rPr>
                <w:rFonts w:ascii="Calibri" w:eastAsia="Times New Roman" w:hAnsi="Calibri" w:cs="Calibri"/>
                <w:kern w:val="0"/>
                <w:lang w:eastAsia="en-GB"/>
                <w14:ligatures w14:val="none"/>
              </w:rPr>
              <w:t xml:space="preserve">The registry may serve as the delivery point for </w:t>
            </w:r>
            <w:proofErr w:type="gramStart"/>
            <w:r w:rsidRPr="00E159A4">
              <w:rPr>
                <w:rFonts w:ascii="Calibri" w:eastAsia="Times New Roman" w:hAnsi="Calibri" w:cs="Calibri"/>
                <w:kern w:val="0"/>
                <w:lang w:eastAsia="en-GB"/>
                <w14:ligatures w14:val="none"/>
              </w:rPr>
              <w:t>physically-settled</w:t>
            </w:r>
            <w:proofErr w:type="gramEnd"/>
            <w:r w:rsidRPr="00E159A4">
              <w:rPr>
                <w:rFonts w:ascii="Calibri" w:eastAsia="Times New Roman" w:hAnsi="Calibri" w:cs="Calibri"/>
                <w:kern w:val="0"/>
                <w:lang w:eastAsia="en-GB"/>
                <w14:ligatures w14:val="none"/>
              </w:rPr>
              <w:t xml:space="preserve"> VCC derivative contracts.</w:t>
            </w:r>
            <w:r>
              <w:rPr>
                <w:rFonts w:ascii="Calibri" w:eastAsia="Times New Roman" w:hAnsi="Calibri" w:cs="Calibri"/>
                <w:kern w:val="0"/>
                <w:lang w:eastAsia="en-GB"/>
                <w14:ligatures w14:val="none"/>
              </w:rPr>
              <w:t xml:space="preserve"> </w:t>
            </w:r>
            <w:r w:rsidRPr="00E159A4">
              <w:rPr>
                <w:rFonts w:ascii="Calibri" w:eastAsia="Times New Roman" w:hAnsi="Calibri" w:cs="Calibri"/>
                <w:kern w:val="0"/>
                <w:lang w:eastAsia="en-GB"/>
                <w14:ligatures w14:val="none"/>
              </w:rPr>
              <w:t>DCMs should consider including in the contract’s terms and conditions that the registry used has effective tracking measures.</w:t>
            </w:r>
          </w:p>
          <w:p w14:paraId="5508C9B2" w14:textId="22E4846A" w:rsidR="00E159A4" w:rsidRDefault="00E159A4" w:rsidP="00E159A4">
            <w:pPr>
              <w:textAlignment w:val="baseline"/>
              <w:rPr>
                <w:rFonts w:ascii="Calibri" w:eastAsia="Times New Roman" w:hAnsi="Calibri" w:cs="Calibri"/>
                <w:kern w:val="0"/>
                <w:lang w:eastAsia="en-GB"/>
                <w14:ligatures w14:val="none"/>
              </w:rPr>
            </w:pPr>
            <w:r w:rsidRPr="00E159A4">
              <w:rPr>
                <w:rFonts w:ascii="Calibri" w:eastAsia="Times New Roman" w:hAnsi="Calibri" w:cs="Calibri"/>
                <w:kern w:val="0"/>
                <w:lang w:eastAsia="en-GB"/>
                <w14:ligatures w14:val="none"/>
              </w:rPr>
              <w:t>Section III.A.2.iii</w:t>
            </w:r>
            <w:r>
              <w:rPr>
                <w:rFonts w:ascii="Calibri" w:eastAsia="Times New Roman" w:hAnsi="Calibri" w:cs="Calibri"/>
                <w:kern w:val="0"/>
                <w:lang w:eastAsia="en-GB"/>
                <w14:ligatures w14:val="none"/>
              </w:rPr>
              <w:t xml:space="preserve">: </w:t>
            </w:r>
            <w:r w:rsidRPr="00E159A4">
              <w:rPr>
                <w:rFonts w:ascii="Calibri" w:eastAsia="Times New Roman" w:hAnsi="Calibri" w:cs="Calibri"/>
                <w:kern w:val="0"/>
                <w:lang w:eastAsia="en-GB"/>
                <w14:ligatures w14:val="none"/>
              </w:rPr>
              <w:t>DCMs should consider whether the registry has measures in place to prevent double counting, including</w:t>
            </w:r>
            <w:r>
              <w:rPr>
                <w:rFonts w:ascii="Calibri" w:eastAsia="Times New Roman" w:hAnsi="Calibri" w:cs="Calibri"/>
                <w:kern w:val="0"/>
                <w:lang w:eastAsia="en-GB"/>
                <w14:ligatures w14:val="none"/>
              </w:rPr>
              <w:t xml:space="preserve"> e</w:t>
            </w:r>
            <w:r w:rsidRPr="00E159A4">
              <w:rPr>
                <w:rFonts w:ascii="Calibri" w:eastAsia="Times New Roman" w:hAnsi="Calibri" w:cs="Calibri"/>
                <w:kern w:val="0"/>
                <w:lang w:eastAsia="en-GB"/>
                <w14:ligatures w14:val="none"/>
              </w:rPr>
              <w:t>nsuring VCCs are issued to only one registry</w:t>
            </w:r>
            <w:r>
              <w:rPr>
                <w:rFonts w:ascii="Calibri" w:eastAsia="Times New Roman" w:hAnsi="Calibri" w:cs="Calibri"/>
                <w:kern w:val="0"/>
                <w:lang w:eastAsia="en-GB"/>
                <w14:ligatures w14:val="none"/>
              </w:rPr>
              <w:t xml:space="preserve"> and p</w:t>
            </w:r>
            <w:r w:rsidRPr="00E159A4">
              <w:rPr>
                <w:rFonts w:ascii="Calibri" w:eastAsia="Times New Roman" w:hAnsi="Calibri" w:cs="Calibri"/>
                <w:kern w:val="0"/>
                <w:lang w:eastAsia="en-GB"/>
                <w14:ligatures w14:val="none"/>
              </w:rPr>
              <w:t>reventing reuse after retirement or cancellation</w:t>
            </w:r>
            <w:r>
              <w:rPr>
                <w:rFonts w:ascii="Calibri" w:eastAsia="Times New Roman" w:hAnsi="Calibri" w:cs="Calibri"/>
                <w:kern w:val="0"/>
                <w:lang w:eastAsia="en-GB"/>
                <w14:ligatures w14:val="none"/>
              </w:rPr>
              <w:t>.</w:t>
            </w:r>
          </w:p>
          <w:p w14:paraId="38C2165D" w14:textId="3A95CEFC" w:rsidR="00E159A4" w:rsidRPr="00CF2E7C" w:rsidRDefault="00E159A4" w:rsidP="00E159A4">
            <w:pPr>
              <w:textAlignment w:val="baseline"/>
              <w:rPr>
                <w:rFonts w:ascii="Calibri" w:eastAsia="Times New Roman" w:hAnsi="Calibri" w:cs="Calibri"/>
                <w:kern w:val="0"/>
                <w:lang w:eastAsia="en-GB"/>
                <w14:ligatures w14:val="none"/>
              </w:rPr>
            </w:pPr>
            <w:r w:rsidRPr="00E159A4">
              <w:rPr>
                <w:rFonts w:ascii="Calibri" w:eastAsia="Times New Roman" w:hAnsi="Calibri" w:cs="Calibri"/>
                <w:kern w:val="0"/>
                <w:lang w:eastAsia="en-GB"/>
                <w14:ligatures w14:val="none"/>
              </w:rPr>
              <w:t>Section I.C.1</w:t>
            </w:r>
            <w:r>
              <w:rPr>
                <w:rFonts w:ascii="Calibri" w:eastAsia="Times New Roman" w:hAnsi="Calibri" w:cs="Calibri"/>
                <w:kern w:val="0"/>
                <w:lang w:eastAsia="en-GB"/>
                <w14:ligatures w14:val="none"/>
              </w:rPr>
              <w:t>: T</w:t>
            </w:r>
            <w:r w:rsidRPr="00E159A4">
              <w:rPr>
                <w:rFonts w:ascii="Calibri" w:eastAsia="Times New Roman" w:hAnsi="Calibri" w:cs="Calibri"/>
                <w:kern w:val="0"/>
                <w:lang w:eastAsia="en-GB"/>
                <w14:ligatures w14:val="none"/>
              </w:rPr>
              <w:t>he guidance references the following registries as examples used in existing contracts:</w:t>
            </w:r>
            <w:r>
              <w:rPr>
                <w:rFonts w:ascii="Calibri" w:eastAsia="Times New Roman" w:hAnsi="Calibri" w:cs="Calibri"/>
                <w:kern w:val="0"/>
                <w:lang w:eastAsia="en-GB"/>
                <w14:ligatures w14:val="none"/>
              </w:rPr>
              <w:t xml:space="preserve"> </w:t>
            </w:r>
            <w:r w:rsidRPr="00E159A4">
              <w:rPr>
                <w:rFonts w:ascii="Calibri" w:eastAsia="Times New Roman" w:hAnsi="Calibri" w:cs="Calibri"/>
                <w:kern w:val="0"/>
                <w:lang w:eastAsia="en-GB"/>
                <w14:ligatures w14:val="none"/>
              </w:rPr>
              <w:t>Verra (Verified Carbon Standard - VCS)</w:t>
            </w:r>
            <w:r>
              <w:rPr>
                <w:rFonts w:ascii="Calibri" w:eastAsia="Times New Roman" w:hAnsi="Calibri" w:cs="Calibri"/>
                <w:kern w:val="0"/>
                <w:lang w:eastAsia="en-GB"/>
                <w14:ligatures w14:val="none"/>
              </w:rPr>
              <w:t xml:space="preserve">, </w:t>
            </w:r>
            <w:r w:rsidRPr="00E159A4">
              <w:rPr>
                <w:rFonts w:ascii="Calibri" w:eastAsia="Times New Roman" w:hAnsi="Calibri" w:cs="Calibri"/>
                <w:kern w:val="0"/>
                <w:lang w:eastAsia="en-GB"/>
                <w14:ligatures w14:val="none"/>
              </w:rPr>
              <w:t>Gold Standard</w:t>
            </w:r>
            <w:r>
              <w:rPr>
                <w:rFonts w:ascii="Calibri" w:eastAsia="Times New Roman" w:hAnsi="Calibri" w:cs="Calibri"/>
                <w:kern w:val="0"/>
                <w:lang w:eastAsia="en-GB"/>
                <w14:ligatures w14:val="none"/>
              </w:rPr>
              <w:t xml:space="preserve">, </w:t>
            </w:r>
            <w:r w:rsidRPr="00E159A4">
              <w:rPr>
                <w:rFonts w:ascii="Calibri" w:eastAsia="Times New Roman" w:hAnsi="Calibri" w:cs="Calibri"/>
                <w:kern w:val="0"/>
                <w:lang w:eastAsia="en-GB"/>
                <w14:ligatures w14:val="none"/>
              </w:rPr>
              <w:t>Climate Action Reserve (CAR)</w:t>
            </w:r>
            <w:r>
              <w:rPr>
                <w:rFonts w:ascii="Calibri" w:eastAsia="Times New Roman" w:hAnsi="Calibri" w:cs="Calibri"/>
                <w:kern w:val="0"/>
                <w:lang w:eastAsia="en-GB"/>
                <w14:ligatures w14:val="none"/>
              </w:rPr>
              <w:t xml:space="preserve">, and </w:t>
            </w:r>
            <w:r w:rsidRPr="00E159A4">
              <w:rPr>
                <w:rFonts w:ascii="Calibri" w:eastAsia="Times New Roman" w:hAnsi="Calibri" w:cs="Calibri"/>
                <w:kern w:val="0"/>
                <w:lang w:eastAsia="en-GB"/>
                <w14:ligatures w14:val="none"/>
              </w:rPr>
              <w:t>American Carbon Registry (ACR)</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04D83CF7" w:rsidR="00343937" w:rsidRPr="00CF2E7C" w:rsidRDefault="00E159A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5A4DA1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159A4">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6F2FA55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159A4">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11E6979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159A4">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5652D42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159A4">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42A2850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159A4">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6FD6771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159A4">
              <w:rPr>
                <w:rFonts w:ascii="Calibri" w:eastAsia="Times New Roman" w:hAnsi="Calibri" w:cs="Calibri"/>
                <w:kern w:val="0"/>
                <w:lang w:eastAsia="en-GB"/>
                <w14:ligatures w14:val="none"/>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AB10CF" w14:textId="16EDB4CB" w:rsidR="00343937" w:rsidRDefault="00E159A4" w:rsidP="00CF2E7C">
            <w:pPr>
              <w:textAlignment w:val="baseline"/>
              <w:rPr>
                <w:rFonts w:ascii="Calibri" w:eastAsia="Times New Roman" w:hAnsi="Calibri" w:cs="Calibri"/>
                <w:kern w:val="0"/>
                <w:lang w:eastAsia="en-GB"/>
                <w14:ligatures w14:val="none"/>
              </w:rPr>
            </w:pPr>
            <w:r w:rsidRPr="00E159A4">
              <w:rPr>
                <w:rFonts w:ascii="Calibri" w:eastAsia="Times New Roman" w:hAnsi="Calibri" w:cs="Calibri"/>
                <w:kern w:val="0"/>
                <w:lang w:eastAsia="en-GB"/>
                <w14:ligatures w14:val="none"/>
              </w:rPr>
              <w:t>Section III.A.2.ii</w:t>
            </w:r>
            <w:r>
              <w:rPr>
                <w:rFonts w:ascii="Calibri" w:eastAsia="Times New Roman" w:hAnsi="Calibri" w:cs="Calibri"/>
                <w:kern w:val="0"/>
                <w:lang w:eastAsia="en-GB"/>
                <w14:ligatures w14:val="none"/>
              </w:rPr>
              <w:t xml:space="preserve">: </w:t>
            </w:r>
            <w:r w:rsidRPr="00E159A4">
              <w:rPr>
                <w:rFonts w:ascii="Calibri" w:eastAsia="Times New Roman" w:hAnsi="Calibri" w:cs="Calibri"/>
                <w:kern w:val="0"/>
                <w:lang w:eastAsia="en-GB"/>
                <w14:ligatures w14:val="none"/>
              </w:rPr>
              <w:t>The guidance recommends that DCMs consider whether the crediting program operates or uses a registry that has effective measures to track issuance, transfer, and retirement of VCCs.</w:t>
            </w:r>
          </w:p>
          <w:p w14:paraId="637C122C" w14:textId="343C9FA8" w:rsidR="00E159A4" w:rsidRDefault="00E159A4" w:rsidP="00CF2E7C">
            <w:pPr>
              <w:textAlignment w:val="baseline"/>
              <w:rPr>
                <w:rFonts w:ascii="Calibri" w:eastAsia="Times New Roman" w:hAnsi="Calibri" w:cs="Calibri"/>
                <w:kern w:val="0"/>
                <w:lang w:eastAsia="en-GB"/>
                <w14:ligatures w14:val="none"/>
              </w:rPr>
            </w:pPr>
            <w:r w:rsidRPr="00E159A4">
              <w:rPr>
                <w:rFonts w:ascii="Calibri" w:eastAsia="Times New Roman" w:hAnsi="Calibri" w:cs="Calibri"/>
                <w:kern w:val="0"/>
                <w:lang w:eastAsia="en-GB"/>
                <w14:ligatures w14:val="none"/>
              </w:rPr>
              <w:t>Section III.A.2.iii</w:t>
            </w:r>
            <w:r>
              <w:rPr>
                <w:rFonts w:ascii="Calibri" w:eastAsia="Times New Roman" w:hAnsi="Calibri" w:cs="Calibri"/>
                <w:kern w:val="0"/>
                <w:lang w:eastAsia="en-GB"/>
                <w14:ligatures w14:val="none"/>
              </w:rPr>
              <w:t xml:space="preserve">: </w:t>
            </w:r>
            <w:r w:rsidRPr="00E159A4">
              <w:rPr>
                <w:rFonts w:ascii="Calibri" w:eastAsia="Times New Roman" w:hAnsi="Calibri" w:cs="Calibri"/>
                <w:kern w:val="0"/>
                <w:lang w:eastAsia="en-GB"/>
                <w14:ligatures w14:val="none"/>
              </w:rPr>
              <w:t>The guidance recommends that VCCs be uniquely associated with a single emission reduction or removal and not be reused after retirement or cancellation.</w:t>
            </w:r>
          </w:p>
          <w:p w14:paraId="4878BF58" w14:textId="086A161A" w:rsidR="00E159A4" w:rsidRPr="00CF2E7C" w:rsidRDefault="00E159A4" w:rsidP="00CF2E7C">
            <w:pPr>
              <w:textAlignment w:val="baseline"/>
              <w:rPr>
                <w:rFonts w:ascii="Calibri" w:eastAsia="Times New Roman" w:hAnsi="Calibri" w:cs="Calibri"/>
                <w:kern w:val="0"/>
                <w:lang w:eastAsia="en-GB"/>
                <w14:ligatures w14:val="none"/>
              </w:rPr>
            </w:pPr>
            <w:r w:rsidRPr="00E159A4">
              <w:rPr>
                <w:rFonts w:ascii="Calibri" w:eastAsia="Times New Roman" w:hAnsi="Calibri" w:cs="Calibri"/>
                <w:kern w:val="0"/>
                <w:lang w:eastAsia="en-GB"/>
                <w14:ligatures w14:val="none"/>
              </w:rPr>
              <w:t>Section II.B.2.c</w:t>
            </w:r>
            <w:r>
              <w:rPr>
                <w:rFonts w:ascii="Calibri" w:eastAsia="Times New Roman" w:hAnsi="Calibri" w:cs="Calibri"/>
                <w:kern w:val="0"/>
                <w:lang w:eastAsia="en-GB"/>
                <w14:ligatures w14:val="none"/>
              </w:rPr>
              <w:t xml:space="preserve">: </w:t>
            </w:r>
            <w:r w:rsidRPr="00E159A4">
              <w:rPr>
                <w:rFonts w:ascii="Calibri" w:eastAsia="Times New Roman" w:hAnsi="Calibri" w:cs="Calibri"/>
                <w:kern w:val="0"/>
                <w:lang w:eastAsia="en-GB"/>
                <w14:ligatures w14:val="none"/>
              </w:rPr>
              <w:t>The guidance discusses the importance of preventing double claiming and suggests that registries should include cross-checking mechanisms.</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3B86D42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159A4">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3E865C9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159A4">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439A3CE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159A4">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0F1F716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159A4">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EBB134" w14:textId="77777777" w:rsidR="00E159A4" w:rsidRDefault="00E159A4" w:rsidP="00E159A4">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guidance </w:t>
            </w:r>
            <w:r w:rsidRPr="00E159A4">
              <w:rPr>
                <w:rFonts w:ascii="Calibri" w:eastAsia="Times New Roman" w:hAnsi="Calibri" w:cs="Calibri"/>
                <w:kern w:val="0"/>
                <w:lang w:eastAsia="en-GB"/>
                <w14:ligatures w14:val="none"/>
              </w:rPr>
              <w:t>outlines quality standards for VCCs (e.g., additionality, permanence, robust quantification), but it does not address or prescribe how revenues from carbon credit generation or trading should be allocated or used.</w:t>
            </w:r>
          </w:p>
          <w:p w14:paraId="0CA82F78" w14:textId="6AB236C2" w:rsidR="00E159A4" w:rsidRPr="00E159A4" w:rsidRDefault="00E159A4" w:rsidP="00E159A4">
            <w:pPr>
              <w:textAlignment w:val="baseline"/>
              <w:rPr>
                <w:rFonts w:ascii="Calibri" w:eastAsia="Times New Roman" w:hAnsi="Calibri" w:cs="Calibri"/>
                <w:kern w:val="0"/>
                <w:lang w:eastAsia="en-GB"/>
                <w14:ligatures w14:val="none"/>
              </w:rPr>
            </w:pPr>
            <w:r w:rsidRPr="00E159A4">
              <w:rPr>
                <w:rFonts w:ascii="Calibri" w:eastAsia="Times New Roman" w:hAnsi="Calibri" w:cs="Calibri"/>
                <w:kern w:val="0"/>
                <w:lang w:eastAsia="en-GB"/>
                <w14:ligatures w14:val="none"/>
              </w:rPr>
              <w:t>Section I.B.2: Initiatives to Promote Transparency, Integrity and Standardization</w:t>
            </w:r>
          </w:p>
          <w:p w14:paraId="2B31D88D" w14:textId="77777777" w:rsidR="00E159A4" w:rsidRPr="00E159A4" w:rsidRDefault="00E159A4" w:rsidP="00E159A4">
            <w:pPr>
              <w:textAlignment w:val="baseline"/>
              <w:rPr>
                <w:rFonts w:ascii="Calibri" w:eastAsia="Times New Roman" w:hAnsi="Calibri" w:cs="Calibri"/>
                <w:kern w:val="0"/>
                <w:lang w:eastAsia="en-GB"/>
                <w14:ligatures w14:val="none"/>
              </w:rPr>
            </w:pPr>
            <w:r w:rsidRPr="00E159A4">
              <w:rPr>
                <w:rFonts w:ascii="Calibri" w:eastAsia="Times New Roman" w:hAnsi="Calibri" w:cs="Calibri"/>
                <w:kern w:val="0"/>
                <w:lang w:eastAsia="en-GB"/>
                <w14:ligatures w14:val="none"/>
              </w:rPr>
              <w:t>Section III.A: VCC Commodity Characteristics</w:t>
            </w:r>
          </w:p>
          <w:p w14:paraId="324D576A" w14:textId="77777777" w:rsidR="00E159A4" w:rsidRPr="00E159A4" w:rsidRDefault="00E159A4" w:rsidP="00E159A4">
            <w:pPr>
              <w:textAlignment w:val="baseline"/>
              <w:rPr>
                <w:rFonts w:ascii="Calibri" w:eastAsia="Times New Roman" w:hAnsi="Calibri" w:cs="Calibri"/>
                <w:kern w:val="0"/>
                <w:lang w:eastAsia="en-GB"/>
                <w14:ligatures w14:val="none"/>
              </w:rPr>
            </w:pPr>
            <w:r w:rsidRPr="00E159A4">
              <w:rPr>
                <w:rFonts w:ascii="Calibri" w:eastAsia="Times New Roman" w:hAnsi="Calibri" w:cs="Calibri"/>
                <w:kern w:val="0"/>
                <w:lang w:eastAsia="en-GB"/>
                <w14:ligatures w14:val="none"/>
              </w:rPr>
              <w:t>Section II.B.2.ii: Social and Environmental Factors</w:t>
            </w:r>
          </w:p>
          <w:p w14:paraId="40CFF5A4" w14:textId="5C1F4E34" w:rsidR="00343937" w:rsidRPr="00CF2E7C" w:rsidRDefault="00E159A4" w:rsidP="00E159A4">
            <w:pPr>
              <w:textAlignment w:val="baseline"/>
              <w:rPr>
                <w:rFonts w:ascii="Calibri" w:eastAsia="Times New Roman" w:hAnsi="Calibri" w:cs="Calibri"/>
                <w:kern w:val="0"/>
                <w:lang w:eastAsia="en-GB"/>
                <w14:ligatures w14:val="none"/>
              </w:rPr>
            </w:pPr>
            <w:r w:rsidRPr="00E159A4">
              <w:rPr>
                <w:rFonts w:ascii="Calibri" w:eastAsia="Times New Roman" w:hAnsi="Calibri" w:cs="Calibri"/>
                <w:kern w:val="0"/>
                <w:lang w:eastAsia="en-GB"/>
                <w14:ligatures w14:val="none"/>
              </w:rPr>
              <w:t>Section III.C: Product Submission Requirements</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7D7E1B8A" w:rsidR="000A6F11" w:rsidRPr="00CF2E7C" w:rsidRDefault="0023189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kern w:val="0"/>
                <w:lang w:eastAsia="en-GB"/>
                <w14:ligatures w14:val="none"/>
              </w:rPr>
              <w:lastRenderedPageBreak/>
              <w:t>[</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22CCC6D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7E95F36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37167">
              <w:rPr>
                <w:rFonts w:ascii="Calibri" w:eastAsia="Times New Roman" w:hAnsi="Calibri" w:cs="Calibri"/>
                <w:kern w:val="0"/>
                <w:lang w:eastAsia="en-GB"/>
                <w14:ligatures w14:val="none"/>
              </w:rPr>
              <w:t>X</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59A6E1AC" w:rsidR="00FE7FA5" w:rsidRPr="00CF2E7C" w:rsidRDefault="0003716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9A95CB9" w14:textId="77777777" w:rsidR="00FE7FA5" w:rsidRDefault="0003716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guidance outlines factors for DCMs to consider in the design and listing of voluntary carbon credit (</w:t>
            </w:r>
            <w:proofErr w:type="spellStart"/>
            <w:r>
              <w:rPr>
                <w:rFonts w:ascii="Calibri" w:eastAsia="Times New Roman" w:hAnsi="Calibri" w:cs="Calibri"/>
                <w:kern w:val="0"/>
                <w:lang w:eastAsia="en-GB"/>
                <w14:ligatures w14:val="none"/>
              </w:rPr>
              <w:t>VCC</w:t>
            </w:r>
            <w:proofErr w:type="spellEnd"/>
            <w:r>
              <w:rPr>
                <w:rFonts w:ascii="Calibri" w:eastAsia="Times New Roman" w:hAnsi="Calibri" w:cs="Calibri"/>
                <w:kern w:val="0"/>
                <w:lang w:eastAsia="en-GB"/>
                <w14:ligatures w14:val="none"/>
              </w:rPr>
              <w:t xml:space="preserve">) derivative contracts, particularly regarding the quality of the underlying </w:t>
            </w:r>
            <w:proofErr w:type="spellStart"/>
            <w:r>
              <w:rPr>
                <w:rFonts w:ascii="Calibri" w:eastAsia="Times New Roman" w:hAnsi="Calibri" w:cs="Calibri"/>
                <w:kern w:val="0"/>
                <w:lang w:eastAsia="en-GB"/>
                <w14:ligatures w14:val="none"/>
              </w:rPr>
              <w:t>VCCs</w:t>
            </w:r>
            <w:proofErr w:type="spellEnd"/>
            <w:r>
              <w:rPr>
                <w:rFonts w:ascii="Calibri" w:eastAsia="Times New Roman" w:hAnsi="Calibri" w:cs="Calibri"/>
                <w:kern w:val="0"/>
                <w:lang w:eastAsia="en-GB"/>
                <w14:ligatures w14:val="none"/>
              </w:rPr>
              <w:t xml:space="preserve"> and the robustness of the crediting programs from which they originate.  The approach aims to promote market stability and prevent manipulation or other disruptions. </w:t>
            </w:r>
          </w:p>
          <w:p w14:paraId="20EA0A8D" w14:textId="522BA475" w:rsidR="00774D20" w:rsidRDefault="00774D2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w:t>
            </w:r>
            <w:r w:rsidRPr="00774D20">
              <w:rPr>
                <w:rFonts w:ascii="Calibri" w:eastAsia="Times New Roman" w:hAnsi="Calibri" w:cs="Calibri"/>
                <w:kern w:val="0"/>
                <w:lang w:eastAsia="en-GB"/>
                <w14:ligatures w14:val="none"/>
              </w:rPr>
              <w:t xml:space="preserve"> DCM may determine that it is appropriate, when addressing quality standards in connection with derivative contract design, to consider whether the crediting program for underlying </w:t>
            </w:r>
            <w:proofErr w:type="spellStart"/>
            <w:r w:rsidRPr="00774D20">
              <w:rPr>
                <w:rFonts w:ascii="Calibri" w:eastAsia="Times New Roman" w:hAnsi="Calibri" w:cs="Calibri"/>
                <w:kern w:val="0"/>
                <w:lang w:eastAsia="en-GB"/>
                <w14:ligatures w14:val="none"/>
              </w:rPr>
              <w:t>VCCs</w:t>
            </w:r>
            <w:proofErr w:type="spellEnd"/>
            <w:r w:rsidRPr="00774D20">
              <w:rPr>
                <w:rFonts w:ascii="Calibri" w:eastAsia="Times New Roman" w:hAnsi="Calibri" w:cs="Calibri"/>
                <w:kern w:val="0"/>
                <w:lang w:eastAsia="en-GB"/>
                <w14:ligatures w14:val="none"/>
              </w:rPr>
              <w:t xml:space="preserve"> has implemented measures to help ensure that credited mitigation projects or activities (</w:t>
            </w:r>
            <w:proofErr w:type="spellStart"/>
            <w:r w:rsidRPr="00774D20">
              <w:rPr>
                <w:rFonts w:ascii="Calibri" w:eastAsia="Times New Roman" w:hAnsi="Calibri" w:cs="Calibri"/>
                <w:kern w:val="0"/>
                <w:lang w:eastAsia="en-GB"/>
                <w14:ligatures w14:val="none"/>
              </w:rPr>
              <w:t>i</w:t>
            </w:r>
            <w:proofErr w:type="spellEnd"/>
            <w:r w:rsidRPr="00774D20">
              <w:rPr>
                <w:rFonts w:ascii="Calibri" w:eastAsia="Times New Roman" w:hAnsi="Calibri" w:cs="Calibri"/>
                <w:kern w:val="0"/>
                <w:lang w:eastAsia="en-GB"/>
                <w14:ligatures w14:val="none"/>
              </w:rPr>
              <w:t>) meet or exceed best practices on social and environmental safeguards, and (ii) would avoid locking in levels of GHG emissions, technologies or carbon intensive practices that are incompatible with the objective of achieving net zero GHG emissions by 2050. The Commission has determined to finalize its guidance accordingly. The Commission emphasizes, however, that it does not expect that a DCM will necessarily be evaluating the specifics of the crediting program's measures with respect to social and environmental safeguards and net zero alignment, and this guidance does not prescribe any such measures.</w:t>
            </w:r>
            <w:r>
              <w:rPr>
                <w:rFonts w:ascii="Calibri" w:eastAsia="Times New Roman" w:hAnsi="Calibri" w:cs="Calibri"/>
                <w:kern w:val="0"/>
                <w:lang w:eastAsia="en-GB"/>
                <w14:ligatures w14:val="none"/>
              </w:rPr>
              <w:t>”</w:t>
            </w:r>
          </w:p>
          <w:p w14:paraId="10D661CC" w14:textId="0BD7CBA2" w:rsidR="00774D20" w:rsidRDefault="00774D20" w:rsidP="00CF2E7C">
            <w:pPr>
              <w:textAlignment w:val="baseline"/>
              <w:rPr>
                <w:rFonts w:ascii="Calibri" w:eastAsia="Times New Roman" w:hAnsi="Calibri" w:cs="Calibri"/>
                <w:kern w:val="0"/>
                <w:lang w:eastAsia="en-GB"/>
                <w14:ligatures w14:val="none"/>
              </w:rPr>
            </w:pPr>
            <w:hyperlink r:id="rId20" w:history="1">
              <w:r w:rsidRPr="00155105">
                <w:rPr>
                  <w:rStyle w:val="Hyperlink"/>
                  <w:rFonts w:ascii="Calibri" w:eastAsia="Times New Roman" w:hAnsi="Calibri" w:cs="Calibri"/>
                  <w:kern w:val="0"/>
                  <w:lang w:eastAsia="en-GB"/>
                  <w14:ligatures w14:val="none"/>
                </w:rPr>
                <w:t>https://</w:t>
              </w:r>
              <w:proofErr w:type="spellStart"/>
              <w:r w:rsidRPr="00155105">
                <w:rPr>
                  <w:rStyle w:val="Hyperlink"/>
                  <w:rFonts w:ascii="Calibri" w:eastAsia="Times New Roman" w:hAnsi="Calibri" w:cs="Calibri"/>
                  <w:kern w:val="0"/>
                  <w:lang w:eastAsia="en-GB"/>
                  <w14:ligatures w14:val="none"/>
                </w:rPr>
                <w:t>www.federalregister.gov</w:t>
              </w:r>
              <w:proofErr w:type="spellEnd"/>
              <w:r w:rsidRPr="00155105">
                <w:rPr>
                  <w:rStyle w:val="Hyperlink"/>
                  <w:rFonts w:ascii="Calibri" w:eastAsia="Times New Roman" w:hAnsi="Calibri" w:cs="Calibri"/>
                  <w:kern w:val="0"/>
                  <w:lang w:eastAsia="en-GB"/>
                  <w14:ligatures w14:val="none"/>
                </w:rPr>
                <w:t>/d/2024-23105/p-215</w:t>
              </w:r>
            </w:hyperlink>
          </w:p>
          <w:p w14:paraId="2080C3D9" w14:textId="58AC5DC0" w:rsidR="00037167" w:rsidRPr="00CF2E7C" w:rsidRDefault="00037167"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11223E9F" w:rsidR="00FE7FA5" w:rsidRPr="00CF2E7C" w:rsidRDefault="00774D2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It does not.</w:t>
            </w: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69C9169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74D20">
              <w:rPr>
                <w:rFonts w:ascii="Calibri" w:eastAsia="Times New Roman" w:hAnsi="Calibri" w:cs="Calibri"/>
                <w:kern w:val="0"/>
                <w:lang w:eastAsia="en-GB"/>
                <w14:ligatures w14:val="none"/>
              </w:rPr>
              <w:t>X</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109B68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74D20">
              <w:rPr>
                <w:rFonts w:ascii="Calibri" w:eastAsia="Times New Roman" w:hAnsi="Calibri" w:cs="Calibri"/>
                <w:kern w:val="0"/>
                <w:lang w:eastAsia="en-GB"/>
                <w14:ligatures w14:val="none"/>
              </w:rPr>
              <w:t>X</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1CAB85C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489AADC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74D20">
              <w:rPr>
                <w:rFonts w:ascii="Calibri" w:eastAsia="Times New Roman" w:hAnsi="Calibri" w:cs="Calibri"/>
                <w:kern w:val="0"/>
                <w:lang w:eastAsia="en-GB"/>
                <w14:ligatures w14:val="none"/>
              </w:rPr>
              <w:t>X</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B38C49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5AFC4F2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74D20">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1C74D1A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74D20">
              <w:rPr>
                <w:rFonts w:ascii="Calibri" w:eastAsia="Times New Roman" w:hAnsi="Calibri" w:cs="Calibri"/>
                <w:kern w:val="0"/>
                <w:lang w:eastAsia="en-GB"/>
                <w14:ligatures w14:val="none"/>
              </w:rPr>
              <w:t>X</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4BDABAC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74D20">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213B7F8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74D20">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0297B90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74D20">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11A225B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74D20">
              <w:rPr>
                <w:rFonts w:ascii="Calibri" w:eastAsia="Times New Roman" w:hAnsi="Calibri" w:cs="Calibri"/>
                <w:kern w:val="0"/>
                <w:lang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148DFE6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74D20">
              <w:rPr>
                <w:rFonts w:ascii="Calibri" w:eastAsia="Times New Roman" w:hAnsi="Calibri" w:cs="Calibri"/>
                <w:kern w:val="0"/>
                <w:lang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266692B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74D20">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481808C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74D20">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5D162D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74D20">
              <w:rPr>
                <w:rFonts w:ascii="Calibri" w:eastAsia="Times New Roman" w:hAnsi="Calibri" w:cs="Calibri"/>
                <w:kern w:val="0"/>
                <w:lang w:eastAsia="en-GB"/>
                <w14:ligatures w14:val="none"/>
              </w:rPr>
              <w:t>X</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30726969" w:rsidR="00392F82" w:rsidRPr="009C4D10" w:rsidRDefault="00D42EF0"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3042BA3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r w:rsidR="00D42EF0">
              <w:rPr>
                <w:rFonts w:eastAsia="Times New Roman" w:cstheme="minorHAnsi"/>
                <w:kern w:val="0"/>
                <w:lang w:eastAsia="en-GB"/>
                <w14:ligatures w14:val="none"/>
              </w:rPr>
              <w:t>X</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F31843" w14:textId="454D91B9" w:rsidR="00334C1B" w:rsidRPr="00334C1B" w:rsidRDefault="00334C1B" w:rsidP="00334C1B">
            <w:pPr>
              <w:textAlignment w:val="baseline"/>
              <w:rPr>
                <w:rFonts w:eastAsia="Times New Roman" w:cstheme="minorHAnsi"/>
                <w:kern w:val="0"/>
                <w:lang w:eastAsia="en-GB"/>
                <w14:ligatures w14:val="none"/>
              </w:rPr>
            </w:pPr>
            <w:r w:rsidRPr="00334C1B">
              <w:rPr>
                <w:rFonts w:eastAsia="Times New Roman" w:cstheme="minorHAnsi"/>
                <w:kern w:val="0"/>
                <w:lang w:eastAsia="en-GB"/>
                <w14:ligatures w14:val="none"/>
              </w:rPr>
              <w:t>The CFTC’s guidance regulates the trading and intermediation of carbon credits by establishing expectations for how Designated Contract Markets (DCMs) should design, list, and monitor derivative contracts based on voluntary carbon credits (VCCs), in compliance with the Commodity Exchange Act (CEA).</w:t>
            </w:r>
          </w:p>
          <w:p w14:paraId="36F67358" w14:textId="77777777" w:rsidR="00334C1B" w:rsidRPr="00334C1B" w:rsidRDefault="00334C1B" w:rsidP="00334C1B">
            <w:pPr>
              <w:textAlignment w:val="baseline"/>
              <w:rPr>
                <w:rFonts w:eastAsia="Times New Roman" w:cstheme="minorHAnsi"/>
                <w:kern w:val="0"/>
                <w:lang w:eastAsia="en-GB"/>
                <w14:ligatures w14:val="none"/>
              </w:rPr>
            </w:pPr>
            <w:r w:rsidRPr="00334C1B">
              <w:rPr>
                <w:rFonts w:eastAsia="Times New Roman" w:cstheme="minorHAnsi"/>
                <w:kern w:val="0"/>
                <w:lang w:eastAsia="en-GB"/>
                <w14:ligatures w14:val="none"/>
              </w:rPr>
              <w:t>Section III outlines how VCCs, when used as the underlying commodity in derivatives, should be treated to ensure market integrity and regulatory compliance. It emphasizes:</w:t>
            </w:r>
          </w:p>
          <w:p w14:paraId="372DB495" w14:textId="4BDC2E70" w:rsidR="00334C1B" w:rsidRPr="00334C1B" w:rsidRDefault="00334C1B" w:rsidP="00334C1B">
            <w:pPr>
              <w:textAlignment w:val="baseline"/>
              <w:rPr>
                <w:rFonts w:eastAsia="Times New Roman" w:cstheme="minorHAnsi"/>
                <w:kern w:val="0"/>
                <w:lang w:eastAsia="en-GB"/>
                <w14:ligatures w14:val="none"/>
              </w:rPr>
            </w:pPr>
            <w:r w:rsidRPr="00334C1B">
              <w:rPr>
                <w:rFonts w:eastAsia="Times New Roman" w:cstheme="minorHAnsi"/>
                <w:kern w:val="0"/>
                <w:lang w:eastAsia="en-GB"/>
                <w14:ligatures w14:val="none"/>
              </w:rPr>
              <w:t>Contract Design Integrity</w:t>
            </w:r>
          </w:p>
          <w:p w14:paraId="6F7579FD" w14:textId="77777777" w:rsidR="00334C1B" w:rsidRPr="00334C1B" w:rsidRDefault="00334C1B" w:rsidP="00334C1B">
            <w:pPr>
              <w:pStyle w:val="ListParagraph"/>
              <w:numPr>
                <w:ilvl w:val="0"/>
                <w:numId w:val="50"/>
              </w:numPr>
              <w:textAlignment w:val="baseline"/>
              <w:rPr>
                <w:rFonts w:eastAsia="Times New Roman" w:cstheme="minorHAnsi"/>
                <w:kern w:val="0"/>
                <w:lang w:eastAsia="en-GB"/>
                <w14:ligatures w14:val="none"/>
              </w:rPr>
            </w:pPr>
            <w:r w:rsidRPr="00334C1B">
              <w:rPr>
                <w:rFonts w:eastAsia="Times New Roman" w:cstheme="minorHAnsi"/>
                <w:kern w:val="0"/>
                <w:lang w:eastAsia="en-GB"/>
                <w14:ligatures w14:val="none"/>
              </w:rPr>
              <w:t>DCMs must only list contracts that are not readily susceptible to manipulation (Core Principle 3).</w:t>
            </w:r>
          </w:p>
          <w:p w14:paraId="08D5D227" w14:textId="77777777" w:rsidR="00334C1B" w:rsidRPr="00334C1B" w:rsidRDefault="00334C1B" w:rsidP="00334C1B">
            <w:pPr>
              <w:pStyle w:val="ListParagraph"/>
              <w:numPr>
                <w:ilvl w:val="0"/>
                <w:numId w:val="50"/>
              </w:numPr>
              <w:textAlignment w:val="baseline"/>
              <w:rPr>
                <w:rFonts w:eastAsia="Times New Roman" w:cstheme="minorHAnsi"/>
                <w:kern w:val="0"/>
                <w:lang w:eastAsia="en-GB"/>
                <w14:ligatures w14:val="none"/>
              </w:rPr>
            </w:pPr>
            <w:r w:rsidRPr="00334C1B">
              <w:rPr>
                <w:rFonts w:eastAsia="Times New Roman" w:cstheme="minorHAnsi"/>
                <w:kern w:val="0"/>
                <w:lang w:eastAsia="en-GB"/>
                <w14:ligatures w14:val="none"/>
              </w:rPr>
              <w:t>Contracts must clearly define the economically significant characteristics of the underlying VCCs, including quality attributes and delivery specifications.</w:t>
            </w:r>
          </w:p>
          <w:p w14:paraId="2D8C544D" w14:textId="58EE5C6C" w:rsidR="00334C1B" w:rsidRPr="00334C1B" w:rsidRDefault="00334C1B" w:rsidP="00334C1B">
            <w:pPr>
              <w:textAlignment w:val="baseline"/>
              <w:rPr>
                <w:rFonts w:eastAsia="Times New Roman" w:cstheme="minorHAnsi"/>
                <w:kern w:val="0"/>
                <w:lang w:eastAsia="en-GB"/>
                <w14:ligatures w14:val="none"/>
              </w:rPr>
            </w:pPr>
            <w:r w:rsidRPr="00334C1B">
              <w:rPr>
                <w:rFonts w:eastAsia="Times New Roman" w:cstheme="minorHAnsi"/>
                <w:kern w:val="0"/>
                <w:lang w:eastAsia="en-GB"/>
                <w14:ligatures w14:val="none"/>
              </w:rPr>
              <w:t>Ongoing Market Surveillance</w:t>
            </w:r>
          </w:p>
          <w:p w14:paraId="7B8ADFDE" w14:textId="77777777" w:rsidR="00334C1B" w:rsidRPr="00334C1B" w:rsidRDefault="00334C1B" w:rsidP="00334C1B">
            <w:pPr>
              <w:pStyle w:val="ListParagraph"/>
              <w:numPr>
                <w:ilvl w:val="0"/>
                <w:numId w:val="50"/>
              </w:numPr>
              <w:textAlignment w:val="baseline"/>
              <w:rPr>
                <w:rFonts w:eastAsia="Times New Roman" w:cstheme="minorHAnsi"/>
                <w:kern w:val="0"/>
                <w:lang w:eastAsia="en-GB"/>
                <w14:ligatures w14:val="none"/>
              </w:rPr>
            </w:pPr>
            <w:r w:rsidRPr="00334C1B">
              <w:rPr>
                <w:rFonts w:eastAsia="Times New Roman" w:cstheme="minorHAnsi"/>
                <w:kern w:val="0"/>
                <w:lang w:eastAsia="en-GB"/>
                <w14:ligatures w14:val="none"/>
              </w:rPr>
              <w:t>DCMs must monitor listed contracts to prevent manipulation, price distortion, and delivery disruptions (Core Principle 4).</w:t>
            </w:r>
          </w:p>
          <w:p w14:paraId="19BB35F2" w14:textId="77777777" w:rsidR="00334C1B" w:rsidRPr="00334C1B" w:rsidRDefault="00334C1B" w:rsidP="00334C1B">
            <w:pPr>
              <w:pStyle w:val="ListParagraph"/>
              <w:numPr>
                <w:ilvl w:val="0"/>
                <w:numId w:val="50"/>
              </w:numPr>
              <w:textAlignment w:val="baseline"/>
              <w:rPr>
                <w:rFonts w:eastAsia="Times New Roman" w:cstheme="minorHAnsi"/>
                <w:kern w:val="0"/>
                <w:lang w:eastAsia="en-GB"/>
                <w14:ligatures w14:val="none"/>
              </w:rPr>
            </w:pPr>
            <w:r w:rsidRPr="00334C1B">
              <w:rPr>
                <w:rFonts w:eastAsia="Times New Roman" w:cstheme="minorHAnsi"/>
                <w:kern w:val="0"/>
                <w:lang w:eastAsia="en-GB"/>
                <w14:ligatures w14:val="none"/>
              </w:rPr>
              <w:t>Monitoring includes ensuring that contract terms remain appropriate as crediting standards evolve.</w:t>
            </w:r>
          </w:p>
          <w:p w14:paraId="37D50D2C" w14:textId="4B5C7DFD" w:rsidR="00334C1B" w:rsidRPr="00334C1B" w:rsidRDefault="00334C1B" w:rsidP="00334C1B">
            <w:pPr>
              <w:textAlignment w:val="baseline"/>
              <w:rPr>
                <w:rFonts w:eastAsia="Times New Roman" w:cstheme="minorHAnsi"/>
                <w:kern w:val="0"/>
                <w:lang w:eastAsia="en-GB"/>
                <w14:ligatures w14:val="none"/>
              </w:rPr>
            </w:pPr>
            <w:r w:rsidRPr="00334C1B">
              <w:rPr>
                <w:rFonts w:eastAsia="Times New Roman" w:cstheme="minorHAnsi"/>
                <w:kern w:val="0"/>
                <w:lang w:eastAsia="en-GB"/>
                <w14:ligatures w14:val="none"/>
              </w:rPr>
              <w:t>Product Submission Requirements</w:t>
            </w:r>
          </w:p>
          <w:p w14:paraId="03671267" w14:textId="77777777" w:rsidR="00334C1B" w:rsidRPr="00334C1B" w:rsidRDefault="00334C1B" w:rsidP="00334C1B">
            <w:pPr>
              <w:pStyle w:val="ListParagraph"/>
              <w:numPr>
                <w:ilvl w:val="0"/>
                <w:numId w:val="50"/>
              </w:numPr>
              <w:textAlignment w:val="baseline"/>
              <w:rPr>
                <w:rFonts w:eastAsia="Times New Roman" w:cstheme="minorHAnsi"/>
                <w:kern w:val="0"/>
                <w:lang w:eastAsia="en-GB"/>
                <w14:ligatures w14:val="none"/>
              </w:rPr>
            </w:pPr>
            <w:r w:rsidRPr="00334C1B">
              <w:rPr>
                <w:rFonts w:eastAsia="Times New Roman" w:cstheme="minorHAnsi"/>
                <w:kern w:val="0"/>
                <w:lang w:eastAsia="en-GB"/>
                <w14:ligatures w14:val="none"/>
              </w:rPr>
              <w:lastRenderedPageBreak/>
              <w:t>DCMs must submit a detailed explanation and analysis of how the VCC derivative contract complies with the CEA, including supporting documentation and data (Section III.C).</w:t>
            </w:r>
          </w:p>
          <w:p w14:paraId="24399C7D" w14:textId="77777777" w:rsidR="00334C1B" w:rsidRPr="00334C1B" w:rsidRDefault="00334C1B" w:rsidP="00334C1B">
            <w:pPr>
              <w:pStyle w:val="ListParagraph"/>
              <w:numPr>
                <w:ilvl w:val="0"/>
                <w:numId w:val="50"/>
              </w:numPr>
              <w:textAlignment w:val="baseline"/>
              <w:rPr>
                <w:rFonts w:eastAsia="Times New Roman" w:cstheme="minorHAnsi"/>
                <w:kern w:val="0"/>
                <w:lang w:eastAsia="en-GB"/>
                <w14:ligatures w14:val="none"/>
              </w:rPr>
            </w:pPr>
            <w:r w:rsidRPr="00334C1B">
              <w:rPr>
                <w:rFonts w:eastAsia="Times New Roman" w:cstheme="minorHAnsi"/>
                <w:kern w:val="0"/>
                <w:lang w:eastAsia="en-GB"/>
                <w14:ligatures w14:val="none"/>
              </w:rPr>
              <w:t>Additional information must be provided upon request by the CFTC.</w:t>
            </w:r>
          </w:p>
          <w:p w14:paraId="51351B2F" w14:textId="77777777" w:rsidR="00334C1B" w:rsidRPr="00334C1B" w:rsidRDefault="00334C1B" w:rsidP="00334C1B">
            <w:pPr>
              <w:textAlignment w:val="baseline"/>
              <w:rPr>
                <w:rFonts w:eastAsia="Times New Roman" w:cstheme="minorHAnsi"/>
                <w:kern w:val="0"/>
                <w:lang w:eastAsia="en-GB"/>
                <w14:ligatures w14:val="none"/>
              </w:rPr>
            </w:pPr>
            <w:r w:rsidRPr="00334C1B">
              <w:rPr>
                <w:rFonts w:eastAsia="Times New Roman" w:cstheme="minorHAnsi"/>
                <w:kern w:val="0"/>
                <w:lang w:eastAsia="en-GB"/>
                <w14:ligatures w14:val="none"/>
              </w:rPr>
              <w:t>Key Regulatory Criteria:</w:t>
            </w:r>
          </w:p>
          <w:p w14:paraId="65F9D9F5" w14:textId="63248914" w:rsidR="00334C1B" w:rsidRPr="00334C1B" w:rsidRDefault="00334C1B" w:rsidP="00334C1B">
            <w:pPr>
              <w:pStyle w:val="ListParagraph"/>
              <w:numPr>
                <w:ilvl w:val="0"/>
                <w:numId w:val="51"/>
              </w:numPr>
              <w:textAlignment w:val="baseline"/>
              <w:rPr>
                <w:rFonts w:eastAsia="Times New Roman" w:cstheme="minorHAnsi"/>
                <w:kern w:val="0"/>
                <w:lang w:eastAsia="en-GB"/>
                <w14:ligatures w14:val="none"/>
              </w:rPr>
            </w:pPr>
            <w:r w:rsidRPr="00334C1B">
              <w:rPr>
                <w:rFonts w:eastAsia="Times New Roman" w:cstheme="minorHAnsi"/>
                <w:kern w:val="0"/>
                <w:lang w:eastAsia="en-GB"/>
                <w14:ligatures w14:val="none"/>
              </w:rPr>
              <w:t>Quality Standards (Section III.A.1): DCMs should evaluate the underlying VCCs based on: Transparency, Additionality, Permanence and risk of reversal, Robust quantification</w:t>
            </w:r>
          </w:p>
          <w:p w14:paraId="0D3CC3D5" w14:textId="59891EA1" w:rsidR="00334C1B" w:rsidRPr="00334C1B" w:rsidRDefault="00334C1B" w:rsidP="00334C1B">
            <w:pPr>
              <w:pStyle w:val="ListParagraph"/>
              <w:numPr>
                <w:ilvl w:val="0"/>
                <w:numId w:val="51"/>
              </w:numPr>
              <w:textAlignment w:val="baseline"/>
              <w:rPr>
                <w:rFonts w:eastAsia="Times New Roman" w:cstheme="minorHAnsi"/>
                <w:kern w:val="0"/>
                <w:lang w:eastAsia="en-GB"/>
                <w14:ligatures w14:val="none"/>
              </w:rPr>
            </w:pPr>
            <w:r w:rsidRPr="00334C1B">
              <w:rPr>
                <w:rFonts w:eastAsia="Times New Roman" w:cstheme="minorHAnsi"/>
                <w:kern w:val="0"/>
                <w:lang w:eastAsia="en-GB"/>
                <w14:ligatures w14:val="none"/>
              </w:rPr>
              <w:t xml:space="preserve">Delivery Points and Facilities (Section III.A.2): DCMs must consider: Governance of the crediting program, </w:t>
            </w:r>
            <w:proofErr w:type="gramStart"/>
            <w:r w:rsidRPr="00334C1B">
              <w:rPr>
                <w:rFonts w:eastAsia="Times New Roman" w:cstheme="minorHAnsi"/>
                <w:kern w:val="0"/>
                <w:lang w:eastAsia="en-GB"/>
                <w14:ligatures w14:val="none"/>
              </w:rPr>
              <w:t>Tracking</w:t>
            </w:r>
            <w:proofErr w:type="gramEnd"/>
            <w:r w:rsidRPr="00334C1B">
              <w:rPr>
                <w:rFonts w:eastAsia="Times New Roman" w:cstheme="minorHAnsi"/>
                <w:kern w:val="0"/>
                <w:lang w:eastAsia="en-GB"/>
                <w14:ligatures w14:val="none"/>
              </w:rPr>
              <w:t xml:space="preserve"> mechanisms, and Measures to prevent double counting</w:t>
            </w:r>
          </w:p>
          <w:p w14:paraId="6108FF67" w14:textId="63B40950" w:rsidR="00D42EF0" w:rsidRPr="00334C1B" w:rsidRDefault="00334C1B" w:rsidP="00334C1B">
            <w:pPr>
              <w:pStyle w:val="ListParagraph"/>
              <w:numPr>
                <w:ilvl w:val="0"/>
                <w:numId w:val="51"/>
              </w:numPr>
              <w:textAlignment w:val="baseline"/>
              <w:rPr>
                <w:rFonts w:eastAsia="Times New Roman" w:cstheme="minorHAnsi"/>
                <w:kern w:val="0"/>
                <w:lang w:eastAsia="en-GB"/>
                <w14:ligatures w14:val="none"/>
              </w:rPr>
            </w:pPr>
            <w:r w:rsidRPr="00334C1B">
              <w:rPr>
                <w:rFonts w:eastAsia="Times New Roman" w:cstheme="minorHAnsi"/>
                <w:kern w:val="0"/>
                <w:lang w:eastAsia="en-GB"/>
                <w14:ligatures w14:val="none"/>
              </w:rPr>
              <w:t>Inspection Provisions (Section III.A.3): DCMs should ensure that: Third-party validation and verification procedures are in place, and these procedures reflect best practices and are transparent</w:t>
            </w: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7508BF9D" w:rsidR="33822AF7" w:rsidRDefault="33822AF7" w:rsidP="00AB3CD8">
      <w:pPr>
        <w:pStyle w:val="DocID"/>
      </w:pP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4EAF8FA" w14:textId="77777777" w:rsidR="00004D2B" w:rsidRDefault="00004D2B" w:rsidP="00874E39">
      <w:r>
        <w:separator/>
      </w:r>
    </w:p>
  </w:endnote>
  <w:endnote w:type="continuationSeparator" w:id="0">
    <w:p w14:paraId="463D3AF6" w14:textId="77777777" w:rsidR="00004D2B" w:rsidRDefault="00004D2B" w:rsidP="00874E39">
      <w:r>
        <w:continuationSeparator/>
      </w:r>
    </w:p>
  </w:endnote>
  <w:endnote w:type="continuationNotice" w:id="1">
    <w:p w14:paraId="00072757" w14:textId="77777777" w:rsidR="00004D2B" w:rsidRDefault="00004D2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2DCDD5CF"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F6D110D" w14:textId="77777777" w:rsidR="00004D2B" w:rsidRDefault="00004D2B" w:rsidP="00874E39">
      <w:r>
        <w:separator/>
      </w:r>
    </w:p>
  </w:footnote>
  <w:footnote w:type="continuationSeparator" w:id="0">
    <w:p w14:paraId="252D41A3" w14:textId="77777777" w:rsidR="00004D2B" w:rsidRDefault="00004D2B" w:rsidP="00874E39">
      <w:r>
        <w:continuationSeparator/>
      </w:r>
    </w:p>
  </w:footnote>
  <w:footnote w:type="continuationNotice" w:id="1">
    <w:p w14:paraId="18470328" w14:textId="77777777" w:rsidR="00004D2B" w:rsidRDefault="00004D2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F6E499" w14:textId="77777777" w:rsidR="00D0400B" w:rsidRDefault="00D0400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02FD36" w14:textId="77777777" w:rsidR="00D0400B" w:rsidRDefault="00D0400B">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4B05B29"/>
    <w:multiLevelType w:val="hybridMultilevel"/>
    <w:tmpl w:val="1FB6D75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7C60C0"/>
    <w:multiLevelType w:val="hybridMultilevel"/>
    <w:tmpl w:val="FF32B13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3792045"/>
    <w:multiLevelType w:val="hybridMultilevel"/>
    <w:tmpl w:val="38B038A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1"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2"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3"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4"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5"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6"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7"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8"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4"/>
  </w:num>
  <w:num w:numId="4" w16cid:durableId="1689330127">
    <w:abstractNumId w:val="1"/>
  </w:num>
  <w:num w:numId="5" w16cid:durableId="401291788">
    <w:abstractNumId w:val="30"/>
  </w:num>
  <w:num w:numId="6" w16cid:durableId="1276788690">
    <w:abstractNumId w:val="14"/>
  </w:num>
  <w:num w:numId="7" w16cid:durableId="566767730">
    <w:abstractNumId w:val="21"/>
  </w:num>
  <w:num w:numId="8" w16cid:durableId="1780710843">
    <w:abstractNumId w:val="36"/>
  </w:num>
  <w:num w:numId="9" w16cid:durableId="1685783054">
    <w:abstractNumId w:val="3"/>
  </w:num>
  <w:num w:numId="10" w16cid:durableId="950551298">
    <w:abstractNumId w:val="33"/>
  </w:num>
  <w:num w:numId="11" w16cid:durableId="1591960799">
    <w:abstractNumId w:val="50"/>
  </w:num>
  <w:num w:numId="12" w16cid:durableId="1344891410">
    <w:abstractNumId w:val="10"/>
  </w:num>
  <w:num w:numId="13" w16cid:durableId="2023899324">
    <w:abstractNumId w:val="12"/>
  </w:num>
  <w:num w:numId="14" w16cid:durableId="430587014">
    <w:abstractNumId w:val="7"/>
  </w:num>
  <w:num w:numId="15" w16cid:durableId="1742869061">
    <w:abstractNumId w:val="32"/>
  </w:num>
  <w:num w:numId="16" w16cid:durableId="1996450437">
    <w:abstractNumId w:val="20"/>
  </w:num>
  <w:num w:numId="17" w16cid:durableId="1529031027">
    <w:abstractNumId w:val="9"/>
  </w:num>
  <w:num w:numId="18" w16cid:durableId="568614617">
    <w:abstractNumId w:val="18"/>
  </w:num>
  <w:num w:numId="19" w16cid:durableId="1530605858">
    <w:abstractNumId w:val="45"/>
  </w:num>
  <w:num w:numId="20" w16cid:durableId="1328172586">
    <w:abstractNumId w:val="16"/>
  </w:num>
  <w:num w:numId="21" w16cid:durableId="184827816">
    <w:abstractNumId w:val="29"/>
  </w:num>
  <w:num w:numId="22" w16cid:durableId="1785346599">
    <w:abstractNumId w:val="35"/>
  </w:num>
  <w:num w:numId="23" w16cid:durableId="1294288901">
    <w:abstractNumId w:val="28"/>
  </w:num>
  <w:num w:numId="24" w16cid:durableId="1603957975">
    <w:abstractNumId w:val="47"/>
  </w:num>
  <w:num w:numId="25" w16cid:durableId="1659531047">
    <w:abstractNumId w:val="46"/>
  </w:num>
  <w:num w:numId="26" w16cid:durableId="752774403">
    <w:abstractNumId w:val="23"/>
  </w:num>
  <w:num w:numId="27" w16cid:durableId="347872198">
    <w:abstractNumId w:val="6"/>
  </w:num>
  <w:num w:numId="28" w16cid:durableId="537133110">
    <w:abstractNumId w:val="13"/>
  </w:num>
  <w:num w:numId="29" w16cid:durableId="1632318729">
    <w:abstractNumId w:val="48"/>
  </w:num>
  <w:num w:numId="30" w16cid:durableId="1268124074">
    <w:abstractNumId w:val="34"/>
  </w:num>
  <w:num w:numId="31" w16cid:durableId="887108748">
    <w:abstractNumId w:val="31"/>
  </w:num>
  <w:num w:numId="32" w16cid:durableId="1826125712">
    <w:abstractNumId w:val="37"/>
  </w:num>
  <w:num w:numId="33" w16cid:durableId="823357978">
    <w:abstractNumId w:val="42"/>
  </w:num>
  <w:num w:numId="34" w16cid:durableId="1092120443">
    <w:abstractNumId w:val="41"/>
  </w:num>
  <w:num w:numId="35" w16cid:durableId="124861188">
    <w:abstractNumId w:val="11"/>
  </w:num>
  <w:num w:numId="36" w16cid:durableId="1952588250">
    <w:abstractNumId w:val="39"/>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3"/>
  </w:num>
  <w:num w:numId="46" w16cid:durableId="947811845">
    <w:abstractNumId w:val="49"/>
  </w:num>
  <w:num w:numId="47" w16cid:durableId="342588554">
    <w:abstractNumId w:val="27"/>
  </w:num>
  <w:num w:numId="48" w16cid:durableId="318391343">
    <w:abstractNumId w:val="38"/>
  </w:num>
  <w:num w:numId="49" w16cid:durableId="718163334">
    <w:abstractNumId w:val="26"/>
  </w:num>
  <w:num w:numId="50" w16cid:durableId="419528017">
    <w:abstractNumId w:val="40"/>
  </w:num>
  <w:num w:numId="51" w16cid:durableId="1119953498">
    <w:abstractNumId w:val="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D2B"/>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167"/>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83D"/>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1893"/>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2A3A"/>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5D55"/>
    <w:rsid w:val="003175A1"/>
    <w:rsid w:val="003218C6"/>
    <w:rsid w:val="00322783"/>
    <w:rsid w:val="00322BCF"/>
    <w:rsid w:val="003243E3"/>
    <w:rsid w:val="00324698"/>
    <w:rsid w:val="00325558"/>
    <w:rsid w:val="00325771"/>
    <w:rsid w:val="00325E0E"/>
    <w:rsid w:val="003310EC"/>
    <w:rsid w:val="00331C00"/>
    <w:rsid w:val="00334282"/>
    <w:rsid w:val="00334C1B"/>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3C94"/>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2ED6"/>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482"/>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944"/>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6826"/>
    <w:rsid w:val="004D7C53"/>
    <w:rsid w:val="004E4F56"/>
    <w:rsid w:val="004E51B5"/>
    <w:rsid w:val="004F0C55"/>
    <w:rsid w:val="004F276F"/>
    <w:rsid w:val="004F48E8"/>
    <w:rsid w:val="004F5354"/>
    <w:rsid w:val="004F6063"/>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953"/>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0B5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58D"/>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C77F0"/>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4D20"/>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7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D7663"/>
    <w:rsid w:val="007E038D"/>
    <w:rsid w:val="007E0819"/>
    <w:rsid w:val="007E08A2"/>
    <w:rsid w:val="007E1061"/>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4EF"/>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1AA4"/>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5806"/>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67FCE"/>
    <w:rsid w:val="0097030B"/>
    <w:rsid w:val="00970C82"/>
    <w:rsid w:val="00971C0E"/>
    <w:rsid w:val="00974581"/>
    <w:rsid w:val="009745EE"/>
    <w:rsid w:val="00976106"/>
    <w:rsid w:val="00976B54"/>
    <w:rsid w:val="00977578"/>
    <w:rsid w:val="00977BA5"/>
    <w:rsid w:val="009805DC"/>
    <w:rsid w:val="00981000"/>
    <w:rsid w:val="0098114D"/>
    <w:rsid w:val="009818E7"/>
    <w:rsid w:val="00981AD6"/>
    <w:rsid w:val="0098226E"/>
    <w:rsid w:val="00984D24"/>
    <w:rsid w:val="00984DBA"/>
    <w:rsid w:val="0098621E"/>
    <w:rsid w:val="009868E2"/>
    <w:rsid w:val="00986C64"/>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5CE"/>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29B1"/>
    <w:rsid w:val="00A631EB"/>
    <w:rsid w:val="00A711B3"/>
    <w:rsid w:val="00A716F0"/>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3CD8"/>
    <w:rsid w:val="00AB4F2C"/>
    <w:rsid w:val="00AB64F8"/>
    <w:rsid w:val="00AC6ECF"/>
    <w:rsid w:val="00AC7B6B"/>
    <w:rsid w:val="00AD1216"/>
    <w:rsid w:val="00AD1BC7"/>
    <w:rsid w:val="00AD4477"/>
    <w:rsid w:val="00AD4F51"/>
    <w:rsid w:val="00AD5285"/>
    <w:rsid w:val="00AD54D3"/>
    <w:rsid w:val="00AD70E0"/>
    <w:rsid w:val="00AD7ACD"/>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376E7"/>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38B4"/>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3D68"/>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0D80"/>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400B"/>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2EF0"/>
    <w:rsid w:val="00D43237"/>
    <w:rsid w:val="00D4323A"/>
    <w:rsid w:val="00D442ED"/>
    <w:rsid w:val="00D44C0E"/>
    <w:rsid w:val="00D46116"/>
    <w:rsid w:val="00D46297"/>
    <w:rsid w:val="00D4693D"/>
    <w:rsid w:val="00D46B07"/>
    <w:rsid w:val="00D47404"/>
    <w:rsid w:val="00D510DA"/>
    <w:rsid w:val="00D52B89"/>
    <w:rsid w:val="00D53F8D"/>
    <w:rsid w:val="00D547E6"/>
    <w:rsid w:val="00D56EA7"/>
    <w:rsid w:val="00D57AD5"/>
    <w:rsid w:val="00D6003F"/>
    <w:rsid w:val="00D60275"/>
    <w:rsid w:val="00D637B2"/>
    <w:rsid w:val="00D6386F"/>
    <w:rsid w:val="00D65C32"/>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3C2A"/>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94B"/>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9A4"/>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4B7C"/>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4EA"/>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5C3"/>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297"/>
    <w:rsid w:val="00F51334"/>
    <w:rsid w:val="00F5203B"/>
    <w:rsid w:val="00F526AD"/>
    <w:rsid w:val="00F527B7"/>
    <w:rsid w:val="00F52E73"/>
    <w:rsid w:val="00F52F6F"/>
    <w:rsid w:val="00F53828"/>
    <w:rsid w:val="00F5517E"/>
    <w:rsid w:val="00F55E99"/>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D65FB"/>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customStyle="1" w:styleId="DocID">
    <w:name w:val="DocID"/>
    <w:rsid w:val="0098114D"/>
    <w:rPr>
      <w:rFonts w:ascii="Times New Roman" w:eastAsia="Times New Roman" w:hAnsi="Times New Roman" w:cs="Times New Roman"/>
      <w:kern w:val="0"/>
      <w:sz w:val="18"/>
      <w:lang w:val="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federalregister.gov/d/2024-23105/p-215"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hyperlink" Target="https://web.archive.org/web/20250625231446/https://www.govinfo.gov/content/pkg/FR-2024-10-15/pdf/2024-23105.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23</TotalTime>
  <Pages>112</Pages>
  <Words>21962</Words>
  <Characters>130675</Characters>
  <Application>Microsoft Office Word</Application>
  <DocSecurity>0</DocSecurity>
  <Lines>8167</Lines>
  <Paragraphs>4625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148012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McKitterick, Will</cp:lastModifiedBy>
  <cp:revision>4</cp:revision>
  <cp:lastPrinted>2025-03-21T00:14:00Z</cp:lastPrinted>
  <dcterms:created xsi:type="dcterms:W3CDTF">2025-06-25T23:22:00Z</dcterms:created>
  <dcterms:modified xsi:type="dcterms:W3CDTF">2025-06-28T01:20:00Z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OCXDOCID">
    <vt:lpwstr>530710608v.1</vt:lpwstr>
  </property>
  <property fmtid="{D5CDD505-2E9C-101B-9397-08002B2CF9AE}" pid="5" name="DocXFormat">
    <vt:lpwstr>DocID</vt:lpwstr>
  </property>
  <property fmtid="{D5CDD505-2E9C-101B-9397-08002B2CF9AE}" pid="6" name="DocXLocation">
    <vt:lpwstr>EndOfDocument</vt:lpwstr>
  </property>
</Properties>
</file>